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688B" w14:textId="1D7420E3" w:rsidR="0069153E" w:rsidRPr="0030448B" w:rsidRDefault="0071109F" w:rsidP="00795005">
      <w:pPr>
        <w:spacing w:after="119" w:line="259" w:lineRule="auto"/>
        <w:ind w:rightChars="21" w:right="50"/>
        <w:rPr>
          <w:rFonts w:eastAsiaTheme="minorEastAsia"/>
          <w:color w:val="auto"/>
        </w:rPr>
      </w:pPr>
      <w:r w:rsidRPr="0030448B">
        <w:rPr>
          <w:color w:val="auto"/>
          <w:sz w:val="28"/>
        </w:rPr>
        <w:t>國立臺灣藝術大學高等教育深耕計畫</w:t>
      </w:r>
      <w:r w:rsidR="005B44D2" w:rsidRPr="0030448B">
        <w:rPr>
          <w:rFonts w:hint="eastAsia"/>
          <w:color w:val="auto"/>
          <w:kern w:val="0"/>
          <w:sz w:val="28"/>
          <w:szCs w:val="28"/>
        </w:rPr>
        <w:t>藝術領航</w:t>
      </w:r>
      <w:r w:rsidR="00F02FC6" w:rsidRPr="0030448B">
        <w:rPr>
          <w:rFonts w:hint="eastAsia"/>
          <w:color w:val="auto"/>
          <w:sz w:val="28"/>
        </w:rPr>
        <w:t>計畫</w:t>
      </w:r>
      <w:r w:rsidRPr="0030448B">
        <w:rPr>
          <w:color w:val="auto"/>
          <w:sz w:val="28"/>
        </w:rPr>
        <w:t>補助要點</w:t>
      </w:r>
    </w:p>
    <w:p w14:paraId="1E8EA6E4" w14:textId="2FA4CDC8" w:rsidR="0069153E" w:rsidRPr="0030448B" w:rsidRDefault="003B0B4A" w:rsidP="003B0B4A">
      <w:pPr>
        <w:pStyle w:val="a7"/>
        <w:adjustRightInd w:val="0"/>
        <w:snapToGrid w:val="0"/>
        <w:spacing w:after="0" w:line="240" w:lineRule="auto"/>
        <w:ind w:leftChars="0" w:left="357" w:right="380" w:firstLine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30448B">
        <w:rPr>
          <w:rFonts w:hint="eastAsia"/>
          <w:color w:val="auto"/>
          <w:sz w:val="18"/>
          <w:szCs w:val="18"/>
        </w:rPr>
        <w:t>112</w:t>
      </w:r>
      <w:r w:rsidR="0071109F" w:rsidRPr="0030448B">
        <w:rPr>
          <w:color w:val="auto"/>
          <w:sz w:val="18"/>
          <w:szCs w:val="18"/>
        </w:rPr>
        <w:t>年</w:t>
      </w:r>
      <w:r w:rsidR="0071109F" w:rsidRPr="0030448B">
        <w:rPr>
          <w:rFonts w:cs="Times New Roman"/>
          <w:color w:val="auto"/>
          <w:sz w:val="18"/>
          <w:szCs w:val="18"/>
        </w:rPr>
        <w:t>12</w:t>
      </w:r>
      <w:r w:rsidR="0071109F" w:rsidRPr="0030448B">
        <w:rPr>
          <w:color w:val="auto"/>
          <w:sz w:val="18"/>
          <w:szCs w:val="18"/>
        </w:rPr>
        <w:t>月</w:t>
      </w:r>
      <w:r w:rsidR="0071109F" w:rsidRPr="0030448B">
        <w:rPr>
          <w:rFonts w:cs="Times New Roman"/>
          <w:color w:val="auto"/>
          <w:sz w:val="18"/>
          <w:szCs w:val="18"/>
        </w:rPr>
        <w:t>27</w:t>
      </w:r>
      <w:r w:rsidR="0071109F" w:rsidRPr="0030448B">
        <w:rPr>
          <w:color w:val="auto"/>
          <w:sz w:val="18"/>
          <w:szCs w:val="18"/>
        </w:rPr>
        <w:t>日高等教育深耕計畫管考委員會議新訂</w:t>
      </w:r>
      <w:r w:rsidR="0071109F" w:rsidRPr="0030448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</w:p>
    <w:p w14:paraId="4FDA2FC9" w14:textId="6D809662" w:rsidR="003B0B4A" w:rsidRPr="0030448B" w:rsidRDefault="003B0B4A" w:rsidP="003B0B4A">
      <w:pPr>
        <w:pStyle w:val="a7"/>
        <w:adjustRightInd w:val="0"/>
        <w:snapToGrid w:val="0"/>
        <w:spacing w:after="0" w:line="240" w:lineRule="auto"/>
        <w:ind w:leftChars="0" w:left="357" w:right="380" w:firstLine="0"/>
        <w:jc w:val="right"/>
        <w:rPr>
          <w:color w:val="auto"/>
          <w:sz w:val="18"/>
          <w:szCs w:val="18"/>
        </w:rPr>
      </w:pPr>
      <w:r w:rsidRPr="0030448B">
        <w:rPr>
          <w:rFonts w:hint="eastAsia"/>
          <w:color w:val="auto"/>
          <w:sz w:val="18"/>
          <w:szCs w:val="18"/>
        </w:rPr>
        <w:t>114</w:t>
      </w:r>
      <w:r w:rsidRPr="0030448B">
        <w:rPr>
          <w:color w:val="auto"/>
          <w:sz w:val="18"/>
          <w:szCs w:val="18"/>
        </w:rPr>
        <w:t>年</w:t>
      </w:r>
      <w:r w:rsidR="000D66FB" w:rsidRPr="0030448B">
        <w:rPr>
          <w:rFonts w:hint="eastAsia"/>
          <w:color w:val="auto"/>
          <w:kern w:val="0"/>
          <w:sz w:val="18"/>
          <w:szCs w:val="18"/>
        </w:rPr>
        <w:t>3</w:t>
      </w:r>
      <w:r w:rsidRPr="0030448B">
        <w:rPr>
          <w:rFonts w:hint="eastAsia"/>
          <w:color w:val="auto"/>
          <w:kern w:val="0"/>
          <w:sz w:val="18"/>
          <w:szCs w:val="18"/>
        </w:rPr>
        <w:t>月</w:t>
      </w:r>
      <w:r w:rsidR="000D66FB" w:rsidRPr="0030448B">
        <w:rPr>
          <w:rFonts w:hint="eastAsia"/>
          <w:color w:val="auto"/>
          <w:kern w:val="0"/>
          <w:sz w:val="18"/>
          <w:szCs w:val="18"/>
        </w:rPr>
        <w:t>17</w:t>
      </w:r>
      <w:r w:rsidRPr="0030448B">
        <w:rPr>
          <w:rFonts w:hint="eastAsia"/>
          <w:color w:val="auto"/>
          <w:kern w:val="0"/>
          <w:sz w:val="18"/>
          <w:szCs w:val="18"/>
        </w:rPr>
        <w:t>日</w:t>
      </w:r>
      <w:r w:rsidRPr="0030448B">
        <w:rPr>
          <w:color w:val="auto"/>
          <w:sz w:val="18"/>
          <w:szCs w:val="18"/>
        </w:rPr>
        <w:t>高等教育深耕計畫管考委員會議</w:t>
      </w:r>
      <w:r w:rsidRPr="0030448B">
        <w:rPr>
          <w:rFonts w:hint="eastAsia"/>
          <w:color w:val="auto"/>
          <w:sz w:val="18"/>
          <w:szCs w:val="18"/>
        </w:rPr>
        <w:t>修</w:t>
      </w:r>
      <w:r w:rsidRPr="0030448B">
        <w:rPr>
          <w:color w:val="auto"/>
          <w:sz w:val="18"/>
          <w:szCs w:val="18"/>
        </w:rPr>
        <w:t>訂</w:t>
      </w:r>
    </w:p>
    <w:p w14:paraId="00FF3AFB" w14:textId="097DC82C" w:rsidR="003B0B4A" w:rsidRDefault="00C7197B" w:rsidP="003B0B4A">
      <w:pPr>
        <w:pStyle w:val="a7"/>
        <w:adjustRightInd w:val="0"/>
        <w:snapToGrid w:val="0"/>
        <w:spacing w:after="0" w:line="240" w:lineRule="auto"/>
        <w:ind w:leftChars="0" w:left="357" w:right="380" w:firstLine="0"/>
        <w:jc w:val="right"/>
        <w:rPr>
          <w:color w:val="auto"/>
          <w:sz w:val="18"/>
          <w:szCs w:val="18"/>
        </w:rPr>
      </w:pPr>
      <w:r w:rsidRPr="0030448B">
        <w:rPr>
          <w:rFonts w:hint="eastAsia"/>
          <w:color w:val="auto"/>
          <w:sz w:val="18"/>
          <w:szCs w:val="18"/>
        </w:rPr>
        <w:t>114</w:t>
      </w:r>
      <w:r w:rsidRPr="0030448B">
        <w:rPr>
          <w:color w:val="auto"/>
          <w:sz w:val="18"/>
          <w:szCs w:val="18"/>
        </w:rPr>
        <w:t>年</w:t>
      </w:r>
      <w:r w:rsidR="009C2F68">
        <w:rPr>
          <w:rFonts w:hint="eastAsia"/>
          <w:color w:val="auto"/>
          <w:kern w:val="0"/>
          <w:sz w:val="18"/>
          <w:szCs w:val="18"/>
        </w:rPr>
        <w:t>6</w:t>
      </w:r>
      <w:r w:rsidRPr="0030448B">
        <w:rPr>
          <w:rFonts w:hint="eastAsia"/>
          <w:color w:val="auto"/>
          <w:kern w:val="0"/>
          <w:sz w:val="18"/>
          <w:szCs w:val="18"/>
        </w:rPr>
        <w:t>月</w:t>
      </w:r>
      <w:r w:rsidR="009C2F68">
        <w:rPr>
          <w:rFonts w:hint="eastAsia"/>
          <w:color w:val="auto"/>
          <w:kern w:val="0"/>
          <w:sz w:val="18"/>
          <w:szCs w:val="18"/>
        </w:rPr>
        <w:t>13</w:t>
      </w:r>
      <w:r w:rsidRPr="0030448B">
        <w:rPr>
          <w:rFonts w:hint="eastAsia"/>
          <w:color w:val="auto"/>
          <w:kern w:val="0"/>
          <w:sz w:val="18"/>
          <w:szCs w:val="18"/>
        </w:rPr>
        <w:t>日</w:t>
      </w:r>
      <w:r w:rsidRPr="0030448B">
        <w:rPr>
          <w:color w:val="auto"/>
          <w:sz w:val="18"/>
          <w:szCs w:val="18"/>
        </w:rPr>
        <w:t>高等教育深耕計畫管考委員會議</w:t>
      </w:r>
      <w:r w:rsidRPr="0030448B">
        <w:rPr>
          <w:rFonts w:hint="eastAsia"/>
          <w:color w:val="auto"/>
          <w:sz w:val="18"/>
          <w:szCs w:val="18"/>
        </w:rPr>
        <w:t>修</w:t>
      </w:r>
      <w:r>
        <w:rPr>
          <w:rFonts w:hint="eastAsia"/>
          <w:color w:val="auto"/>
          <w:sz w:val="18"/>
          <w:szCs w:val="18"/>
        </w:rPr>
        <w:t>訂</w:t>
      </w:r>
    </w:p>
    <w:p w14:paraId="254BED44" w14:textId="77777777" w:rsidR="00C7197B" w:rsidRPr="00C7197B" w:rsidRDefault="00C7197B" w:rsidP="00795005">
      <w:pPr>
        <w:pStyle w:val="a7"/>
        <w:adjustRightInd w:val="0"/>
        <w:snapToGrid w:val="0"/>
        <w:spacing w:after="0" w:line="240" w:lineRule="auto"/>
        <w:ind w:leftChars="0" w:left="357" w:right="380" w:firstLine="0"/>
        <w:jc w:val="both"/>
        <w:rPr>
          <w:color w:val="auto"/>
        </w:rPr>
      </w:pPr>
    </w:p>
    <w:p w14:paraId="53BAC4A7" w14:textId="10651351" w:rsidR="003B0B4A" w:rsidRPr="0030448B" w:rsidRDefault="0071109F" w:rsidP="00795005">
      <w:pPr>
        <w:pStyle w:val="a7"/>
        <w:numPr>
          <w:ilvl w:val="0"/>
          <w:numId w:val="1"/>
        </w:numPr>
        <w:ind w:leftChars="60" w:left="708" w:hangingChars="235" w:hanging="564"/>
        <w:jc w:val="both"/>
        <w:rPr>
          <w:color w:val="auto"/>
        </w:rPr>
      </w:pPr>
      <w:r w:rsidRPr="0030448B">
        <w:rPr>
          <w:color w:val="auto"/>
        </w:rPr>
        <w:t>國立臺灣藝術大學（以下簡稱本校）為配合教育部大專校院高等教育深耕計畫</w:t>
      </w:r>
      <w:r w:rsidRPr="0030448B">
        <w:rPr>
          <w:rFonts w:ascii="Times New Roman" w:eastAsia="Times New Roman" w:hAnsi="Times New Roman" w:cs="Times New Roman"/>
          <w:color w:val="auto"/>
        </w:rPr>
        <w:t>(</w:t>
      </w:r>
      <w:r w:rsidRPr="0030448B">
        <w:rPr>
          <w:color w:val="auto"/>
        </w:rPr>
        <w:t>以下簡稱深耕計畫</w:t>
      </w:r>
      <w:r w:rsidRPr="0030448B">
        <w:rPr>
          <w:rFonts w:ascii="Times New Roman" w:eastAsia="Times New Roman" w:hAnsi="Times New Roman" w:cs="Times New Roman"/>
          <w:color w:val="auto"/>
        </w:rPr>
        <w:t>)</w:t>
      </w:r>
      <w:r w:rsidRPr="0030448B">
        <w:rPr>
          <w:color w:val="auto"/>
        </w:rPr>
        <w:t>，期能透過經費補助方式，引導校內教學單位投入深耕計畫，特訂定國立臺灣藝術大學高等教育深耕計畫</w:t>
      </w:r>
      <w:r w:rsidR="005B44D2" w:rsidRPr="0030448B">
        <w:rPr>
          <w:rFonts w:hint="eastAsia"/>
          <w:color w:val="auto"/>
          <w:kern w:val="0"/>
        </w:rPr>
        <w:t>藝術領航</w:t>
      </w:r>
      <w:r w:rsidRPr="0030448B">
        <w:rPr>
          <w:color w:val="auto"/>
        </w:rPr>
        <w:t>計畫補助要點。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B75DD6C" w14:textId="48178B24" w:rsidR="0069153E" w:rsidRPr="0030448B" w:rsidRDefault="0071109F" w:rsidP="00795005">
      <w:pPr>
        <w:pStyle w:val="a7"/>
        <w:numPr>
          <w:ilvl w:val="0"/>
          <w:numId w:val="1"/>
        </w:numPr>
        <w:ind w:leftChars="60" w:left="708" w:hangingChars="235" w:hanging="564"/>
        <w:jc w:val="both"/>
        <w:rPr>
          <w:color w:val="auto"/>
        </w:rPr>
      </w:pPr>
      <w:r w:rsidRPr="0030448B">
        <w:rPr>
          <w:color w:val="auto"/>
        </w:rPr>
        <w:t>補助符合深耕計畫精神且與本校學術領域相關之</w:t>
      </w:r>
      <w:r w:rsidR="005B44D2" w:rsidRPr="0030448B">
        <w:rPr>
          <w:rFonts w:hint="eastAsia"/>
          <w:color w:val="auto"/>
          <w:kern w:val="0"/>
        </w:rPr>
        <w:t>藝術領航</w:t>
      </w:r>
      <w:r w:rsidRPr="0030448B">
        <w:rPr>
          <w:color w:val="auto"/>
        </w:rPr>
        <w:t>計畫。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7C21E4E" w14:textId="2CFEFE6D" w:rsidR="00A51DF8" w:rsidRPr="0030448B" w:rsidRDefault="0071109F" w:rsidP="00795005">
      <w:pPr>
        <w:pStyle w:val="a7"/>
        <w:numPr>
          <w:ilvl w:val="0"/>
          <w:numId w:val="1"/>
        </w:numPr>
        <w:ind w:leftChars="59" w:left="708" w:hangingChars="236" w:hanging="566"/>
        <w:jc w:val="both"/>
        <w:rPr>
          <w:color w:val="auto"/>
        </w:rPr>
      </w:pPr>
      <w:r w:rsidRPr="0030448B">
        <w:rPr>
          <w:color w:val="auto"/>
        </w:rPr>
        <w:t>申請</w:t>
      </w:r>
      <w:r w:rsidR="0039646E" w:rsidRPr="0030448B">
        <w:rPr>
          <w:rFonts w:hint="eastAsia"/>
          <w:color w:val="auto"/>
        </w:rPr>
        <w:t>單位</w:t>
      </w:r>
      <w:r w:rsidRPr="0030448B">
        <w:rPr>
          <w:color w:val="auto"/>
        </w:rPr>
        <w:t>：</w:t>
      </w:r>
      <w:r w:rsidR="00337C83" w:rsidRPr="0030448B">
        <w:rPr>
          <w:rFonts w:hint="eastAsia"/>
          <w:color w:val="auto"/>
        </w:rPr>
        <w:t>本計畫依深耕計畫共同績效指標為計算基準，申請單位為</w:t>
      </w:r>
      <w:r w:rsidR="000D66FB" w:rsidRPr="0030448B">
        <w:rPr>
          <w:rFonts w:hint="eastAsia"/>
          <w:color w:val="auto"/>
        </w:rPr>
        <w:t>開</w:t>
      </w:r>
      <w:r w:rsidR="00E827DF" w:rsidRPr="0030448B">
        <w:rPr>
          <w:rFonts w:hint="eastAsia"/>
          <w:color w:val="auto"/>
        </w:rPr>
        <w:t>設有</w:t>
      </w:r>
      <w:r w:rsidR="00337C83" w:rsidRPr="0030448B">
        <w:rPr>
          <w:rFonts w:hint="eastAsia"/>
          <w:color w:val="auto"/>
        </w:rPr>
        <w:t>日間學士班</w:t>
      </w:r>
      <w:r w:rsidR="000D66FB" w:rsidRPr="0030448B">
        <w:rPr>
          <w:rFonts w:hint="eastAsia"/>
          <w:color w:val="auto"/>
        </w:rPr>
        <w:t>課程</w:t>
      </w:r>
      <w:r w:rsidR="00E827DF" w:rsidRPr="0030448B">
        <w:rPr>
          <w:rFonts w:hint="eastAsia"/>
          <w:color w:val="auto"/>
        </w:rPr>
        <w:t>之教學單位</w:t>
      </w:r>
      <w:r w:rsidR="00337C83" w:rsidRPr="0030448B">
        <w:rPr>
          <w:rFonts w:hint="eastAsia"/>
          <w:color w:val="auto"/>
        </w:rPr>
        <w:t>，每</w:t>
      </w:r>
      <w:r w:rsidR="00E827DF" w:rsidRPr="0030448B">
        <w:rPr>
          <w:rFonts w:hint="eastAsia"/>
          <w:color w:val="auto"/>
        </w:rPr>
        <w:t>申請單位</w:t>
      </w:r>
      <w:r w:rsidR="00337C83" w:rsidRPr="0030448B">
        <w:rPr>
          <w:rFonts w:hint="eastAsia"/>
          <w:color w:val="auto"/>
        </w:rPr>
        <w:t>以一案為限，旨在強化學術發展並培育專業人才。</w:t>
      </w:r>
    </w:p>
    <w:p w14:paraId="3DE6E2C9" w14:textId="5D397008" w:rsidR="0069153E" w:rsidRPr="0030448B" w:rsidRDefault="0071109F" w:rsidP="00795005">
      <w:pPr>
        <w:pStyle w:val="a7"/>
        <w:numPr>
          <w:ilvl w:val="0"/>
          <w:numId w:val="1"/>
        </w:numPr>
        <w:ind w:leftChars="59" w:left="708" w:hangingChars="236" w:hanging="566"/>
        <w:jc w:val="both"/>
        <w:rPr>
          <w:color w:val="auto"/>
        </w:rPr>
      </w:pPr>
      <w:r w:rsidRPr="0030448B">
        <w:rPr>
          <w:color w:val="auto"/>
        </w:rPr>
        <w:t>申請方式：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  <w:r w:rsidR="00715531" w:rsidRPr="0030448B">
        <w:rPr>
          <w:rFonts w:ascii="Times New Roman" w:eastAsiaTheme="minorEastAsia" w:hAnsi="Times New Roman" w:cs="Times New Roman" w:hint="eastAsia"/>
          <w:color w:val="auto"/>
        </w:rPr>
        <w:t xml:space="preserve"> </w:t>
      </w:r>
    </w:p>
    <w:p w14:paraId="5D971A6D" w14:textId="77777777" w:rsidR="0069153E" w:rsidRPr="0030448B" w:rsidRDefault="0071109F" w:rsidP="00795005">
      <w:pPr>
        <w:ind w:left="709" w:firstLine="0"/>
        <w:jc w:val="both"/>
        <w:rPr>
          <w:color w:val="auto"/>
        </w:rPr>
      </w:pPr>
      <w:r w:rsidRPr="0030448B">
        <w:rPr>
          <w:color w:val="auto"/>
        </w:rPr>
        <w:t>符合資格之申請者於每年公告之期限前備妥書面資料及電子檔，向教務處教學發展中心提出申請。凡申請內容已獲得政府等其他單位補助，不得重複申請。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8DDA689" w14:textId="77777777" w:rsidR="0069153E" w:rsidRPr="0030448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計畫內容須至少具有以下一項特色：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D4F687E" w14:textId="2F0862ED" w:rsidR="00A5785F" w:rsidRPr="0030448B" w:rsidRDefault="0071109F" w:rsidP="00795005">
      <w:pPr>
        <w:numPr>
          <w:ilvl w:val="1"/>
          <w:numId w:val="1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特色發展</w:t>
      </w:r>
    </w:p>
    <w:p w14:paraId="2A688556" w14:textId="5E8A5C98" w:rsidR="00A5785F" w:rsidRPr="0030448B" w:rsidRDefault="00A5785F" w:rsidP="00795005">
      <w:pPr>
        <w:ind w:left="1476"/>
        <w:jc w:val="both"/>
        <w:rPr>
          <w:color w:val="auto"/>
        </w:rPr>
      </w:pPr>
      <w:r w:rsidRPr="0030448B">
        <w:rPr>
          <w:rFonts w:ascii="Times New Roman" w:eastAsia="Times New Roman" w:hAnsi="Times New Roman" w:cs="Times New Roman"/>
          <w:color w:val="auto"/>
        </w:rPr>
        <w:t xml:space="preserve">1. </w:t>
      </w:r>
      <w:r w:rsidRPr="0030448B">
        <w:rPr>
          <w:color w:val="auto"/>
        </w:rPr>
        <w:t>深化本校</w:t>
      </w:r>
      <w:r w:rsidRPr="0030448B">
        <w:rPr>
          <w:rFonts w:hint="eastAsia"/>
          <w:color w:val="auto"/>
        </w:rPr>
        <w:t>學術</w:t>
      </w:r>
      <w:r w:rsidRPr="0030448B">
        <w:rPr>
          <w:color w:val="auto"/>
        </w:rPr>
        <w:t>領域具創新性之專業知識。</w:t>
      </w:r>
    </w:p>
    <w:p w14:paraId="06D00CBC" w14:textId="2B804FE5" w:rsidR="00A5785F" w:rsidRPr="0030448B" w:rsidRDefault="00A5785F" w:rsidP="00795005">
      <w:pPr>
        <w:ind w:left="1448"/>
        <w:jc w:val="both"/>
        <w:rPr>
          <w:color w:val="auto"/>
        </w:rPr>
      </w:pPr>
      <w:r w:rsidRPr="0030448B">
        <w:rPr>
          <w:rFonts w:ascii="Times New Roman" w:eastAsia="Times New Roman" w:hAnsi="Times New Roman" w:cs="Times New Roman"/>
          <w:color w:val="auto"/>
        </w:rPr>
        <w:t xml:space="preserve">2. </w:t>
      </w:r>
      <w:r w:rsidRPr="0030448B">
        <w:rPr>
          <w:color w:val="auto"/>
        </w:rPr>
        <w:t>建置符合本校</w:t>
      </w:r>
      <w:r w:rsidRPr="0030448B">
        <w:rPr>
          <w:rFonts w:hint="eastAsia"/>
          <w:color w:val="auto"/>
        </w:rPr>
        <w:t>學術</w:t>
      </w:r>
      <w:r w:rsidRPr="0030448B">
        <w:rPr>
          <w:color w:val="auto"/>
        </w:rPr>
        <w:t>領域具前瞻性之場域空間。</w:t>
      </w:r>
    </w:p>
    <w:p w14:paraId="31F2603A" w14:textId="4842CD0D" w:rsidR="0069153E" w:rsidRPr="0030448B" w:rsidRDefault="00A5785F" w:rsidP="00795005">
      <w:pPr>
        <w:numPr>
          <w:ilvl w:val="1"/>
          <w:numId w:val="1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跨領域學</w:t>
      </w:r>
      <w:r w:rsidR="00C438FB" w:rsidRPr="0030448B">
        <w:rPr>
          <w:rFonts w:hint="eastAsia"/>
          <w:color w:val="auto"/>
        </w:rPr>
        <w:t>術</w:t>
      </w:r>
      <w:r w:rsidRPr="0030448B">
        <w:rPr>
          <w:color w:val="auto"/>
        </w:rPr>
        <w:t>交流</w:t>
      </w:r>
    </w:p>
    <w:p w14:paraId="3A626F55" w14:textId="51BBCFCF" w:rsidR="0069153E" w:rsidRPr="0030448B" w:rsidRDefault="00A5785F" w:rsidP="00795005">
      <w:pPr>
        <w:numPr>
          <w:ilvl w:val="2"/>
          <w:numId w:val="7"/>
        </w:numPr>
        <w:ind w:left="1683" w:hanging="245"/>
        <w:jc w:val="both"/>
        <w:rPr>
          <w:color w:val="auto"/>
        </w:rPr>
      </w:pPr>
      <w:r w:rsidRPr="0030448B">
        <w:rPr>
          <w:color w:val="auto"/>
        </w:rPr>
        <w:t>培育具有跨領域能力之人才。</w:t>
      </w:r>
    </w:p>
    <w:p w14:paraId="6D55D6AF" w14:textId="3116EF29" w:rsidR="0069153E" w:rsidRPr="0030448B" w:rsidRDefault="00A5785F" w:rsidP="00795005">
      <w:pPr>
        <w:numPr>
          <w:ilvl w:val="2"/>
          <w:numId w:val="7"/>
        </w:numPr>
        <w:ind w:left="1683" w:hanging="245"/>
        <w:jc w:val="both"/>
        <w:rPr>
          <w:color w:val="auto"/>
        </w:rPr>
      </w:pPr>
      <w:r w:rsidRPr="0030448B">
        <w:rPr>
          <w:color w:val="auto"/>
        </w:rPr>
        <w:t>加深教學與產業鏈結。</w:t>
      </w:r>
    </w:p>
    <w:p w14:paraId="1119EA5E" w14:textId="77777777" w:rsidR="0069153E" w:rsidRPr="0030448B" w:rsidRDefault="0071109F" w:rsidP="00795005">
      <w:pPr>
        <w:numPr>
          <w:ilvl w:val="1"/>
          <w:numId w:val="1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善盡社會責任探討在地的產業、社區文化、城市與偏鄉等發展議題。透過教學延伸實踐促進區域發展，並帶動價值創造。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462F8B2" w14:textId="424F7C88" w:rsidR="0069153E" w:rsidRPr="0030448B" w:rsidRDefault="0071109F" w:rsidP="00795005">
      <w:pPr>
        <w:numPr>
          <w:ilvl w:val="0"/>
          <w:numId w:val="1"/>
        </w:numPr>
        <w:ind w:left="2410" w:hanging="2220"/>
        <w:jc w:val="both"/>
        <w:rPr>
          <w:color w:val="auto"/>
        </w:rPr>
      </w:pPr>
      <w:r w:rsidRPr="0030448B">
        <w:rPr>
          <w:color w:val="auto"/>
        </w:rPr>
        <w:t>計畫執行方式：</w:t>
      </w:r>
      <w:r w:rsidR="00D1563D" w:rsidRPr="0030448B">
        <w:rPr>
          <w:color w:val="auto"/>
        </w:rPr>
        <w:t>依</w:t>
      </w:r>
      <w:proofErr w:type="gramStart"/>
      <w:r w:rsidR="00D1563D" w:rsidRPr="0030448B">
        <w:rPr>
          <w:color w:val="auto"/>
        </w:rPr>
        <w:t>各系近程</w:t>
      </w:r>
      <w:proofErr w:type="gramEnd"/>
      <w:r w:rsidR="00D1563D" w:rsidRPr="0030448B">
        <w:rPr>
          <w:color w:val="auto"/>
        </w:rPr>
        <w:t>、中程及長程發展目標進行規劃，計畫之推動與執行</w:t>
      </w:r>
      <w:proofErr w:type="gramStart"/>
      <w:r w:rsidR="00D1563D" w:rsidRPr="0030448B">
        <w:rPr>
          <w:color w:val="auto"/>
        </w:rPr>
        <w:t>應依當年度</w:t>
      </w:r>
      <w:proofErr w:type="gramEnd"/>
      <w:r w:rsidR="00D1563D" w:rsidRPr="0030448B">
        <w:rPr>
          <w:color w:val="auto"/>
        </w:rPr>
        <w:t>公告之時程安排</w:t>
      </w:r>
      <w:r w:rsidR="00D1563D" w:rsidRPr="0030448B">
        <w:rPr>
          <w:rFonts w:hint="eastAsia"/>
          <w:color w:val="auto"/>
        </w:rPr>
        <w:t>，</w:t>
      </w:r>
      <w:r w:rsidR="00DB42F2" w:rsidRPr="0030448B">
        <w:rPr>
          <w:rFonts w:hint="eastAsia"/>
          <w:color w:val="auto"/>
        </w:rPr>
        <w:t>並</w:t>
      </w:r>
      <w:r w:rsidR="00D1563D" w:rsidRPr="0030448B">
        <w:rPr>
          <w:rFonts w:hint="eastAsia"/>
          <w:color w:val="auto"/>
        </w:rPr>
        <w:t>配合</w:t>
      </w:r>
      <w:r w:rsidR="00D1563D" w:rsidRPr="0030448B">
        <w:rPr>
          <w:color w:val="auto"/>
        </w:rPr>
        <w:t>成效考核</w:t>
      </w:r>
      <w:r w:rsidR="00D1563D" w:rsidRPr="0030448B">
        <w:rPr>
          <w:rFonts w:hint="eastAsia"/>
          <w:color w:val="auto"/>
        </w:rPr>
        <w:t>及</w:t>
      </w:r>
      <w:r w:rsidR="00D1563D" w:rsidRPr="0030448B">
        <w:rPr>
          <w:color w:val="auto"/>
        </w:rPr>
        <w:t>核銷期程。</w:t>
      </w:r>
    </w:p>
    <w:p w14:paraId="33EB7631" w14:textId="6D87F0CC" w:rsidR="0069153E" w:rsidRPr="0030448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審查原則：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B22121C" w14:textId="288DF687" w:rsidR="0069153E" w:rsidRPr="0030448B" w:rsidRDefault="0071109F" w:rsidP="00795005">
      <w:pPr>
        <w:numPr>
          <w:ilvl w:val="1"/>
          <w:numId w:val="1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審查委員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14E05E" w14:textId="60F84AF0" w:rsidR="0069153E" w:rsidRPr="0030448B" w:rsidRDefault="00787708" w:rsidP="00795005">
      <w:pPr>
        <w:ind w:left="1418" w:firstLine="0"/>
        <w:jc w:val="both"/>
        <w:rPr>
          <w:color w:val="auto"/>
        </w:rPr>
      </w:pPr>
      <w:r w:rsidRPr="0030448B">
        <w:rPr>
          <w:rFonts w:hint="eastAsia"/>
          <w:color w:val="auto"/>
        </w:rPr>
        <w:t>本計畫審查委員會之組成與運作依據《國立臺灣藝術大學高等教育深耕計畫</w:t>
      </w:r>
      <w:r w:rsidR="00A5785F" w:rsidRPr="0030448B">
        <w:rPr>
          <w:rFonts w:hint="eastAsia"/>
          <w:color w:val="auto"/>
        </w:rPr>
        <w:t>獎(</w:t>
      </w:r>
      <w:r w:rsidRPr="0030448B">
        <w:rPr>
          <w:rFonts w:hint="eastAsia"/>
          <w:color w:val="auto"/>
        </w:rPr>
        <w:t>補</w:t>
      </w:r>
      <w:r w:rsidR="00A5785F" w:rsidRPr="0030448B">
        <w:rPr>
          <w:rFonts w:hint="eastAsia"/>
          <w:color w:val="auto"/>
        </w:rPr>
        <w:t>)</w:t>
      </w:r>
      <w:r w:rsidRPr="0030448B">
        <w:rPr>
          <w:rFonts w:hint="eastAsia"/>
          <w:color w:val="auto"/>
        </w:rPr>
        <w:t>助審查委員會設置要點》辦理，確保審查</w:t>
      </w:r>
      <w:r w:rsidR="005970DE" w:rsidRPr="0030448B">
        <w:rPr>
          <w:rFonts w:hint="eastAsia"/>
          <w:color w:val="auto"/>
        </w:rPr>
        <w:t>之</w:t>
      </w:r>
      <w:r w:rsidRPr="0030448B">
        <w:rPr>
          <w:rFonts w:hint="eastAsia"/>
          <w:color w:val="auto"/>
        </w:rPr>
        <w:t>公正</w:t>
      </w:r>
      <w:r w:rsidR="005970DE" w:rsidRPr="0030448B">
        <w:rPr>
          <w:rFonts w:hint="eastAsia"/>
          <w:color w:val="auto"/>
        </w:rPr>
        <w:t>性與</w:t>
      </w:r>
      <w:r w:rsidRPr="0030448B">
        <w:rPr>
          <w:rFonts w:hint="eastAsia"/>
          <w:color w:val="auto"/>
        </w:rPr>
        <w:t>一致性</w:t>
      </w:r>
      <w:r w:rsidRPr="0030448B">
        <w:rPr>
          <w:color w:val="auto"/>
        </w:rPr>
        <w:t>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AF03CA8" w14:textId="77777777" w:rsidR="0069153E" w:rsidRPr="0030448B" w:rsidRDefault="0071109F" w:rsidP="00795005">
      <w:pPr>
        <w:ind w:left="667"/>
        <w:jc w:val="both"/>
        <w:rPr>
          <w:color w:val="auto"/>
        </w:rPr>
      </w:pPr>
      <w:r w:rsidRPr="0030448B">
        <w:rPr>
          <w:color w:val="auto"/>
        </w:rPr>
        <w:t>（二）</w:t>
      </w:r>
      <w:r w:rsidRPr="0030448B">
        <w:rPr>
          <w:rFonts w:ascii="細明體" w:eastAsia="細明體" w:hAnsi="細明體" w:cs="細明體"/>
          <w:color w:val="auto"/>
        </w:rPr>
        <w:t xml:space="preserve"> </w:t>
      </w:r>
      <w:r w:rsidRPr="0030448B">
        <w:rPr>
          <w:color w:val="auto"/>
        </w:rPr>
        <w:t>審查重點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D53CFF3" w14:textId="77777777" w:rsidR="0069153E" w:rsidRPr="0030448B" w:rsidRDefault="0071109F" w:rsidP="00795005">
      <w:pPr>
        <w:numPr>
          <w:ilvl w:val="3"/>
          <w:numId w:val="6"/>
        </w:numPr>
        <w:ind w:hanging="245"/>
        <w:jc w:val="both"/>
        <w:rPr>
          <w:color w:val="auto"/>
        </w:rPr>
      </w:pPr>
      <w:r w:rsidRPr="0030448B">
        <w:rPr>
          <w:color w:val="auto"/>
        </w:rPr>
        <w:t>計畫內容具前瞻性及創新性，並具有高度可行性。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1FA9F3B" w14:textId="56A50788" w:rsidR="0069153E" w:rsidRPr="0030448B" w:rsidRDefault="0071109F" w:rsidP="00795005">
      <w:pPr>
        <w:numPr>
          <w:ilvl w:val="3"/>
          <w:numId w:val="6"/>
        </w:numPr>
        <w:ind w:hanging="245"/>
        <w:jc w:val="both"/>
        <w:rPr>
          <w:color w:val="auto"/>
        </w:rPr>
      </w:pPr>
      <w:r w:rsidRPr="0030448B">
        <w:rPr>
          <w:color w:val="auto"/>
        </w:rPr>
        <w:t>規劃方向屬跨領域之科際整合，並具有國際競爭力之前景。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41EC14E" w14:textId="77777777" w:rsidR="0045523E" w:rsidRPr="0030448B" w:rsidRDefault="0045523E" w:rsidP="00795005">
      <w:pPr>
        <w:ind w:left="1711" w:firstLine="0"/>
        <w:jc w:val="both"/>
        <w:rPr>
          <w:color w:val="auto"/>
        </w:rPr>
      </w:pPr>
    </w:p>
    <w:p w14:paraId="340FAA1B" w14:textId="77777777" w:rsidR="004409C0" w:rsidRPr="0030448B" w:rsidRDefault="004409C0" w:rsidP="00795005">
      <w:pPr>
        <w:ind w:left="1711" w:firstLine="0"/>
        <w:jc w:val="both"/>
        <w:rPr>
          <w:strike/>
          <w:color w:val="auto"/>
        </w:rPr>
      </w:pPr>
    </w:p>
    <w:p w14:paraId="76BB5A0B" w14:textId="77777777" w:rsidR="0069153E" w:rsidRPr="0030448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經費規劃原則：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C7A605E" w14:textId="77777777" w:rsidR="0069153E" w:rsidRPr="0030448B" w:rsidRDefault="0071109F" w:rsidP="00795005">
      <w:pPr>
        <w:numPr>
          <w:ilvl w:val="2"/>
          <w:numId w:val="4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本項補助所需經費以本校高等教育深耕計畫之經費支應，經費核銷須符合「大專校院高等教育深耕計畫經費使用原則」，非屬核定項目不得報支。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DCFC01A" w14:textId="3BBB050D" w:rsidR="0069153E" w:rsidRPr="00556BE6" w:rsidRDefault="0071109F" w:rsidP="00795005">
      <w:pPr>
        <w:numPr>
          <w:ilvl w:val="2"/>
          <w:numId w:val="4"/>
        </w:numPr>
        <w:ind w:hanging="794"/>
        <w:jc w:val="both"/>
        <w:rPr>
          <w:color w:val="auto"/>
        </w:rPr>
      </w:pPr>
      <w:r w:rsidRPr="0030448B">
        <w:rPr>
          <w:color w:val="auto"/>
        </w:rPr>
        <w:lastRenderedPageBreak/>
        <w:t>經費編列基準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0BD952C" w14:textId="22A976EA" w:rsidR="00556BE6" w:rsidRPr="00484317" w:rsidRDefault="00556BE6" w:rsidP="00556BE6">
      <w:pPr>
        <w:ind w:left="1451" w:firstLine="0"/>
        <w:jc w:val="both"/>
        <w:rPr>
          <w:color w:val="auto"/>
        </w:rPr>
      </w:pPr>
      <w:r w:rsidRPr="00484317">
        <w:rPr>
          <w:color w:val="auto"/>
        </w:rPr>
        <w:t>本項補助經費之經常門與資本門比例，</w:t>
      </w:r>
      <w:proofErr w:type="gramStart"/>
      <w:r w:rsidRPr="00484317">
        <w:rPr>
          <w:color w:val="auto"/>
        </w:rPr>
        <w:t>應依當年度</w:t>
      </w:r>
      <w:proofErr w:type="gramEnd"/>
      <w:r w:rsidRPr="00484317">
        <w:rPr>
          <w:color w:val="auto"/>
        </w:rPr>
        <w:t>高等教育深耕計畫經費核定結果辦理，並提請本校高等教育深耕計畫管考會議審議通過後始得執行</w:t>
      </w:r>
      <w:r w:rsidRPr="00484317">
        <w:rPr>
          <w:rFonts w:hint="eastAsia"/>
          <w:color w:val="auto"/>
        </w:rPr>
        <w:t>。</w:t>
      </w:r>
    </w:p>
    <w:p w14:paraId="36098A00" w14:textId="5E9E9648" w:rsidR="0069153E" w:rsidRPr="0030448B" w:rsidRDefault="0071109F" w:rsidP="00795005">
      <w:pPr>
        <w:numPr>
          <w:ilvl w:val="3"/>
          <w:numId w:val="5"/>
        </w:numPr>
        <w:spacing w:after="0" w:line="281" w:lineRule="auto"/>
        <w:ind w:right="62" w:hanging="343"/>
        <w:jc w:val="both"/>
        <w:rPr>
          <w:color w:val="auto"/>
        </w:rPr>
      </w:pPr>
      <w:r w:rsidRPr="0030448B">
        <w:rPr>
          <w:color w:val="auto"/>
        </w:rPr>
        <w:t>業務費：以發展計畫所需之業務費項目為主，如出席費、稿費、工讀費、印刷費、資料蒐集費等。並以</w:t>
      </w:r>
      <w:proofErr w:type="gramStart"/>
      <w:r w:rsidRPr="0030448B">
        <w:rPr>
          <w:color w:val="auto"/>
        </w:rPr>
        <w:t>撙</w:t>
      </w:r>
      <w:proofErr w:type="gramEnd"/>
      <w:r w:rsidRPr="0030448B">
        <w:rPr>
          <w:color w:val="auto"/>
        </w:rPr>
        <w:t>節為原則編列及使用經費。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6FFF2B3" w14:textId="77777777" w:rsidR="0069153E" w:rsidRPr="0030448B" w:rsidRDefault="0071109F" w:rsidP="00795005">
      <w:pPr>
        <w:numPr>
          <w:ilvl w:val="3"/>
          <w:numId w:val="5"/>
        </w:numPr>
        <w:ind w:right="62" w:hanging="343"/>
        <w:jc w:val="both"/>
        <w:rPr>
          <w:color w:val="auto"/>
        </w:rPr>
      </w:pPr>
      <w:r w:rsidRPr="0030448B">
        <w:rPr>
          <w:color w:val="auto"/>
        </w:rPr>
        <w:t>設備費：以發展計畫所需設備費用，不包括維持學校基本設施費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30448B">
        <w:rPr>
          <w:color w:val="auto"/>
        </w:rPr>
        <w:t>用，例如：購置桌椅及設備安裝費等。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40E888E" w14:textId="77777777" w:rsidR="0069153E" w:rsidRPr="0030448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補助成效考核：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C998D05" w14:textId="77777777" w:rsidR="0069153E" w:rsidRPr="0030448B" w:rsidRDefault="0071109F" w:rsidP="00795005">
      <w:pPr>
        <w:numPr>
          <w:ilvl w:val="2"/>
          <w:numId w:val="3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獲補助之計畫需參與本校深耕計畫管考會，進行執行成效報告及成果發表會等。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9C3E610" w14:textId="77777777" w:rsidR="0069153E" w:rsidRPr="0030448B" w:rsidRDefault="0071109F" w:rsidP="00795005">
      <w:pPr>
        <w:numPr>
          <w:ilvl w:val="2"/>
          <w:numId w:val="3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獲補助之計畫需配合於該年度公告期限前繳交深耕計畫結案報告，並於本校深耕計畫網站分享計畫推動及成果展示。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B5DC75B" w14:textId="77777777" w:rsidR="0069153E" w:rsidRPr="0030448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經費核銷：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7B5DC34" w14:textId="5DF42FCE" w:rsidR="0069153E" w:rsidRPr="0030448B" w:rsidRDefault="0071109F" w:rsidP="00795005">
      <w:pPr>
        <w:numPr>
          <w:ilvl w:val="2"/>
          <w:numId w:val="2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補助經費以會計年度撥付，獲補助者需於該年度十二月五日前檢據核銷</w:t>
      </w:r>
      <w:r w:rsidR="00FD5B91" w:rsidRPr="0030448B">
        <w:rPr>
          <w:rFonts w:hint="eastAsia"/>
          <w:color w:val="auto"/>
        </w:rPr>
        <w:t>(</w:t>
      </w:r>
      <w:r w:rsidR="00DA0550" w:rsidRPr="0030448B">
        <w:rPr>
          <w:color w:val="auto"/>
        </w:rPr>
        <w:t>資本門應於該年度九月三十日之前完成購置及核銷流程</w:t>
      </w:r>
      <w:r w:rsidR="00FD5B91" w:rsidRPr="0030448B">
        <w:rPr>
          <w:rFonts w:hint="eastAsia"/>
          <w:color w:val="auto"/>
        </w:rPr>
        <w:t>)</w:t>
      </w:r>
      <w:r w:rsidR="00DA0550" w:rsidRPr="0030448B">
        <w:rPr>
          <w:color w:val="auto"/>
        </w:rPr>
        <w:t>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FE48471" w14:textId="54A19079" w:rsidR="0045523E" w:rsidRPr="0030448B" w:rsidRDefault="0071109F" w:rsidP="00795005">
      <w:pPr>
        <w:numPr>
          <w:ilvl w:val="2"/>
          <w:numId w:val="2"/>
        </w:numPr>
        <w:ind w:hanging="794"/>
        <w:jc w:val="both"/>
        <w:rPr>
          <w:color w:val="auto"/>
        </w:rPr>
      </w:pPr>
      <w:r w:rsidRPr="0030448B">
        <w:rPr>
          <w:color w:val="auto"/>
        </w:rPr>
        <w:t>經費執行率未達百分之九十五以上者，除有不可抗拒之具體事由外，列入未來核定補助經費之參考依據。</w:t>
      </w: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AA28BDA" w14:textId="77777777" w:rsidR="00C7197B" w:rsidRDefault="0071109F" w:rsidP="00795005">
      <w:pPr>
        <w:numPr>
          <w:ilvl w:val="0"/>
          <w:numId w:val="1"/>
        </w:numPr>
        <w:ind w:hanging="720"/>
        <w:jc w:val="both"/>
        <w:rPr>
          <w:color w:val="auto"/>
        </w:rPr>
      </w:pPr>
      <w:r w:rsidRPr="0030448B">
        <w:rPr>
          <w:color w:val="auto"/>
        </w:rPr>
        <w:t>本要點經高等教育深耕計畫管考委員會議審議通過，陳請校長核定後實</w:t>
      </w:r>
      <w:r w:rsidR="00C7197B">
        <w:rPr>
          <w:rFonts w:hint="eastAsia"/>
          <w:color w:val="auto"/>
        </w:rPr>
        <w:t xml:space="preserve"> </w:t>
      </w:r>
    </w:p>
    <w:p w14:paraId="274766D5" w14:textId="6DF08275" w:rsidR="0069153E" w:rsidRPr="0030448B" w:rsidRDefault="00C7197B" w:rsidP="00795005">
      <w:pPr>
        <w:ind w:left="910" w:firstLine="0"/>
        <w:jc w:val="both"/>
        <w:rPr>
          <w:color w:val="auto"/>
        </w:rPr>
      </w:pPr>
      <w:r>
        <w:rPr>
          <w:rFonts w:hint="eastAsia"/>
          <w:color w:val="auto"/>
        </w:rPr>
        <w:t xml:space="preserve"> </w:t>
      </w:r>
      <w:r w:rsidR="0071109F" w:rsidRPr="0030448B">
        <w:rPr>
          <w:color w:val="auto"/>
        </w:rPr>
        <w:t>施，修正時亦同。</w:t>
      </w:r>
      <w:r w:rsidR="0071109F" w:rsidRPr="0030448B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7940BA0A" w14:textId="77777777" w:rsidR="0069153E" w:rsidRPr="0030448B" w:rsidRDefault="0071109F" w:rsidP="00795005">
      <w:pPr>
        <w:spacing w:after="60" w:line="259" w:lineRule="auto"/>
        <w:ind w:left="190" w:firstLine="0"/>
        <w:jc w:val="both"/>
        <w:rPr>
          <w:color w:val="auto"/>
        </w:rPr>
      </w:pPr>
      <w:r w:rsidRPr="0030448B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1ED6FB2" w14:textId="5D49E49B" w:rsidR="0069153E" w:rsidRPr="0030448B" w:rsidRDefault="0069153E" w:rsidP="00795005">
      <w:pPr>
        <w:spacing w:after="55" w:line="259" w:lineRule="auto"/>
        <w:ind w:left="190" w:firstLine="0"/>
        <w:jc w:val="both"/>
        <w:rPr>
          <w:rFonts w:eastAsiaTheme="minorEastAsia"/>
          <w:color w:val="auto"/>
        </w:rPr>
      </w:pPr>
    </w:p>
    <w:p w14:paraId="0CE2A38F" w14:textId="0C76F02D" w:rsidR="0069153E" w:rsidRPr="0030448B" w:rsidRDefault="0071109F" w:rsidP="00DA0550">
      <w:pPr>
        <w:spacing w:after="89" w:line="259" w:lineRule="auto"/>
        <w:ind w:left="190" w:firstLine="0"/>
        <w:jc w:val="both"/>
        <w:rPr>
          <w:color w:val="auto"/>
        </w:rPr>
      </w:pP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DA958A6" w14:textId="77777777" w:rsidR="0069153E" w:rsidRPr="0030448B" w:rsidRDefault="0071109F">
      <w:pPr>
        <w:spacing w:after="0" w:line="259" w:lineRule="auto"/>
        <w:ind w:left="190" w:firstLine="0"/>
        <w:rPr>
          <w:color w:val="auto"/>
        </w:rPr>
      </w:pPr>
      <w:r w:rsidRPr="0030448B">
        <w:rPr>
          <w:rFonts w:ascii="Times New Roman" w:eastAsia="Times New Roman" w:hAnsi="Times New Roman" w:cs="Times New Roman"/>
          <w:color w:val="auto"/>
        </w:rPr>
        <w:t xml:space="preserve"> </w:t>
      </w:r>
      <w:r w:rsidRPr="0030448B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sectPr w:rsidR="0069153E" w:rsidRPr="0030448B" w:rsidSect="00795005">
      <w:pgSz w:w="11906" w:h="16838"/>
      <w:pgMar w:top="1501" w:right="1274" w:bottom="1779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22A2" w14:textId="77777777" w:rsidR="003D25CB" w:rsidRDefault="003D25CB" w:rsidP="00594557">
      <w:pPr>
        <w:spacing w:after="0" w:line="240" w:lineRule="auto"/>
      </w:pPr>
      <w:r>
        <w:separator/>
      </w:r>
    </w:p>
  </w:endnote>
  <w:endnote w:type="continuationSeparator" w:id="0">
    <w:p w14:paraId="7ED38BE9" w14:textId="77777777" w:rsidR="003D25CB" w:rsidRDefault="003D25CB" w:rsidP="0059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49B5" w14:textId="77777777" w:rsidR="003D25CB" w:rsidRDefault="003D25CB" w:rsidP="00594557">
      <w:pPr>
        <w:spacing w:after="0" w:line="240" w:lineRule="auto"/>
      </w:pPr>
      <w:r>
        <w:separator/>
      </w:r>
    </w:p>
  </w:footnote>
  <w:footnote w:type="continuationSeparator" w:id="0">
    <w:p w14:paraId="4D53FD5B" w14:textId="77777777" w:rsidR="003D25CB" w:rsidRDefault="003D25CB" w:rsidP="0059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8F7"/>
    <w:multiLevelType w:val="hybridMultilevel"/>
    <w:tmpl w:val="49FA555C"/>
    <w:lvl w:ilvl="0" w:tplc="507C2B60">
      <w:start w:val="11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C4E83"/>
    <w:multiLevelType w:val="hybridMultilevel"/>
    <w:tmpl w:val="59FC8380"/>
    <w:lvl w:ilvl="0" w:tplc="33F24C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2EA">
      <w:start w:val="1"/>
      <w:numFmt w:val="lowerLetter"/>
      <w:lvlText w:val="%2"/>
      <w:lvlJc w:val="left"/>
      <w:pPr>
        <w:ind w:left="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2025E">
      <w:start w:val="1"/>
      <w:numFmt w:val="ideographDigital"/>
      <w:lvlRestart w:val="0"/>
      <w:lvlText w:val="（%3）"/>
      <w:lvlJc w:val="left"/>
      <w:pPr>
        <w:ind w:left="14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AB234">
      <w:start w:val="1"/>
      <w:numFmt w:val="decimal"/>
      <w:lvlText w:val="%4"/>
      <w:lvlJc w:val="left"/>
      <w:pPr>
        <w:ind w:left="1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2880C">
      <w:start w:val="1"/>
      <w:numFmt w:val="lowerLetter"/>
      <w:lvlText w:val="%5"/>
      <w:lvlJc w:val="left"/>
      <w:pPr>
        <w:ind w:left="2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65BDA">
      <w:start w:val="1"/>
      <w:numFmt w:val="lowerRoman"/>
      <w:lvlText w:val="%6"/>
      <w:lvlJc w:val="left"/>
      <w:pPr>
        <w:ind w:left="3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2199C">
      <w:start w:val="1"/>
      <w:numFmt w:val="decimal"/>
      <w:lvlText w:val="%7"/>
      <w:lvlJc w:val="left"/>
      <w:pPr>
        <w:ind w:left="39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48AA8">
      <w:start w:val="1"/>
      <w:numFmt w:val="lowerLetter"/>
      <w:lvlText w:val="%8"/>
      <w:lvlJc w:val="left"/>
      <w:pPr>
        <w:ind w:left="4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27EC">
      <w:start w:val="1"/>
      <w:numFmt w:val="lowerRoman"/>
      <w:lvlText w:val="%9"/>
      <w:lvlJc w:val="left"/>
      <w:pPr>
        <w:ind w:left="53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94B94"/>
    <w:multiLevelType w:val="hybridMultilevel"/>
    <w:tmpl w:val="681209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3ED5452"/>
    <w:multiLevelType w:val="hybridMultilevel"/>
    <w:tmpl w:val="2CA8B916"/>
    <w:lvl w:ilvl="0" w:tplc="243434EE">
      <w:start w:val="1"/>
      <w:numFmt w:val="taiwaneseCountingThousand"/>
      <w:suff w:val="space"/>
      <w:lvlText w:val="%1、"/>
      <w:lvlJc w:val="left"/>
      <w:pPr>
        <w:ind w:left="910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EA0F69E">
      <w:start w:val="1"/>
      <w:numFmt w:val="ideographDigital"/>
      <w:lvlText w:val="（%2）"/>
      <w:lvlJc w:val="left"/>
      <w:pPr>
        <w:ind w:left="14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C16CE">
      <w:start w:val="1"/>
      <w:numFmt w:val="lowerRoman"/>
      <w:lvlText w:val="%3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C9A52">
      <w:start w:val="1"/>
      <w:numFmt w:val="decimal"/>
      <w:lvlText w:val="%4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6F836">
      <w:start w:val="1"/>
      <w:numFmt w:val="lowerLetter"/>
      <w:lvlText w:val="%5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7870">
      <w:start w:val="1"/>
      <w:numFmt w:val="lowerRoman"/>
      <w:lvlText w:val="%6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43CE">
      <w:start w:val="1"/>
      <w:numFmt w:val="decimal"/>
      <w:lvlText w:val="%7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0858E">
      <w:start w:val="1"/>
      <w:numFmt w:val="lowerLetter"/>
      <w:lvlText w:val="%8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81E28">
      <w:start w:val="1"/>
      <w:numFmt w:val="lowerRoman"/>
      <w:lvlText w:val="%9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02BAF"/>
    <w:multiLevelType w:val="hybridMultilevel"/>
    <w:tmpl w:val="378095DE"/>
    <w:lvl w:ilvl="0" w:tplc="02CC8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23946">
      <w:start w:val="1"/>
      <w:numFmt w:val="lowerLetter"/>
      <w:lvlText w:val="%2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0FF8C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8FC2A">
      <w:start w:val="1"/>
      <w:numFmt w:val="decimal"/>
      <w:lvlRestart w:val="0"/>
      <w:lvlText w:val="%4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0158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67996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CE232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CAF6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87E7E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D0624E"/>
    <w:multiLevelType w:val="hybridMultilevel"/>
    <w:tmpl w:val="1DC42AAE"/>
    <w:lvl w:ilvl="0" w:tplc="A51A53F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C842C">
      <w:start w:val="1"/>
      <w:numFmt w:val="lowerLetter"/>
      <w:lvlText w:val="%2"/>
      <w:lvlJc w:val="left"/>
      <w:pPr>
        <w:ind w:left="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B3D4">
      <w:start w:val="1"/>
      <w:numFmt w:val="ideographDigital"/>
      <w:lvlRestart w:val="0"/>
      <w:lvlText w:val="（%3）"/>
      <w:lvlJc w:val="left"/>
      <w:pPr>
        <w:ind w:left="14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EAFD2">
      <w:start w:val="1"/>
      <w:numFmt w:val="decimal"/>
      <w:lvlText w:val="%4"/>
      <w:lvlJc w:val="left"/>
      <w:pPr>
        <w:ind w:left="1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0FB1A">
      <w:start w:val="1"/>
      <w:numFmt w:val="lowerLetter"/>
      <w:lvlText w:val="%5"/>
      <w:lvlJc w:val="left"/>
      <w:pPr>
        <w:ind w:left="2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2874">
      <w:start w:val="1"/>
      <w:numFmt w:val="lowerRoman"/>
      <w:lvlText w:val="%6"/>
      <w:lvlJc w:val="left"/>
      <w:pPr>
        <w:ind w:left="3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A2B8E">
      <w:start w:val="1"/>
      <w:numFmt w:val="decimal"/>
      <w:lvlText w:val="%7"/>
      <w:lvlJc w:val="left"/>
      <w:pPr>
        <w:ind w:left="39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69044">
      <w:start w:val="1"/>
      <w:numFmt w:val="lowerLetter"/>
      <w:lvlText w:val="%8"/>
      <w:lvlJc w:val="left"/>
      <w:pPr>
        <w:ind w:left="4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E6188">
      <w:start w:val="1"/>
      <w:numFmt w:val="lowerRoman"/>
      <w:lvlText w:val="%9"/>
      <w:lvlJc w:val="left"/>
      <w:pPr>
        <w:ind w:left="53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26B6B"/>
    <w:multiLevelType w:val="hybridMultilevel"/>
    <w:tmpl w:val="569627A2"/>
    <w:lvl w:ilvl="0" w:tplc="C80C02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672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E608E">
      <w:start w:val="1"/>
      <w:numFmt w:val="decimal"/>
      <w:lvlRestart w:val="0"/>
      <w:lvlText w:val="%3.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4FAE4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4E1E8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49AE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C72E4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0068E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DDC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8363F"/>
    <w:multiLevelType w:val="hybridMultilevel"/>
    <w:tmpl w:val="DE66AC54"/>
    <w:lvl w:ilvl="0" w:tplc="52D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A90EA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CCCEE">
      <w:start w:val="1"/>
      <w:numFmt w:val="decimal"/>
      <w:lvlRestart w:val="0"/>
      <w:lvlText w:val="%3.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 w:themeColor="text1" w:themeTint="F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CD2C4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6A1A8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FD46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6B23A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C0B96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6BE1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3B1DFD"/>
    <w:multiLevelType w:val="hybridMultilevel"/>
    <w:tmpl w:val="715E831C"/>
    <w:lvl w:ilvl="0" w:tplc="2A625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65678">
      <w:start w:val="1"/>
      <w:numFmt w:val="lowerLetter"/>
      <w:lvlText w:val="%2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CA854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ACF2">
      <w:start w:val="1"/>
      <w:numFmt w:val="decimal"/>
      <w:lvlRestart w:val="0"/>
      <w:lvlText w:val="%4.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07138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C7A44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A2684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46602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E8C7E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30108E"/>
    <w:multiLevelType w:val="hybridMultilevel"/>
    <w:tmpl w:val="8F1CB356"/>
    <w:lvl w:ilvl="0" w:tplc="7AA0D1D4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70C2">
      <w:start w:val="1"/>
      <w:numFmt w:val="lowerLetter"/>
      <w:lvlText w:val="%2"/>
      <w:lvlJc w:val="left"/>
      <w:pPr>
        <w:ind w:left="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2F5DC">
      <w:start w:val="1"/>
      <w:numFmt w:val="ideographDigital"/>
      <w:lvlRestart w:val="0"/>
      <w:lvlText w:val="（%3）"/>
      <w:lvlJc w:val="left"/>
      <w:pPr>
        <w:ind w:left="14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05CB4">
      <w:start w:val="1"/>
      <w:numFmt w:val="decimal"/>
      <w:lvlText w:val="%4"/>
      <w:lvlJc w:val="left"/>
      <w:pPr>
        <w:ind w:left="1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584E">
      <w:start w:val="1"/>
      <w:numFmt w:val="lowerLetter"/>
      <w:lvlText w:val="%5"/>
      <w:lvlJc w:val="left"/>
      <w:pPr>
        <w:ind w:left="2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8422C">
      <w:start w:val="1"/>
      <w:numFmt w:val="lowerRoman"/>
      <w:lvlText w:val="%6"/>
      <w:lvlJc w:val="left"/>
      <w:pPr>
        <w:ind w:left="3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0DCE4">
      <w:start w:val="1"/>
      <w:numFmt w:val="decimal"/>
      <w:lvlText w:val="%7"/>
      <w:lvlJc w:val="left"/>
      <w:pPr>
        <w:ind w:left="39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62300">
      <w:start w:val="1"/>
      <w:numFmt w:val="lowerLetter"/>
      <w:lvlText w:val="%8"/>
      <w:lvlJc w:val="left"/>
      <w:pPr>
        <w:ind w:left="4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C614C">
      <w:start w:val="1"/>
      <w:numFmt w:val="lowerRoman"/>
      <w:lvlText w:val="%9"/>
      <w:lvlJc w:val="left"/>
      <w:pPr>
        <w:ind w:left="53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006318">
    <w:abstractNumId w:val="3"/>
  </w:num>
  <w:num w:numId="2" w16cid:durableId="2060863816">
    <w:abstractNumId w:val="5"/>
  </w:num>
  <w:num w:numId="3" w16cid:durableId="1620985271">
    <w:abstractNumId w:val="9"/>
  </w:num>
  <w:num w:numId="4" w16cid:durableId="583271209">
    <w:abstractNumId w:val="1"/>
  </w:num>
  <w:num w:numId="5" w16cid:durableId="1682395562">
    <w:abstractNumId w:val="8"/>
  </w:num>
  <w:num w:numId="6" w16cid:durableId="372392829">
    <w:abstractNumId w:val="4"/>
  </w:num>
  <w:num w:numId="7" w16cid:durableId="1356729049">
    <w:abstractNumId w:val="7"/>
  </w:num>
  <w:num w:numId="8" w16cid:durableId="230039244">
    <w:abstractNumId w:val="6"/>
  </w:num>
  <w:num w:numId="9" w16cid:durableId="854002461">
    <w:abstractNumId w:val="0"/>
  </w:num>
  <w:num w:numId="10" w16cid:durableId="55463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3E"/>
    <w:rsid w:val="00016088"/>
    <w:rsid w:val="000162F9"/>
    <w:rsid w:val="00071134"/>
    <w:rsid w:val="000D66FB"/>
    <w:rsid w:val="0012225B"/>
    <w:rsid w:val="001247AF"/>
    <w:rsid w:val="00131111"/>
    <w:rsid w:val="00164870"/>
    <w:rsid w:val="002A1E95"/>
    <w:rsid w:val="002C4008"/>
    <w:rsid w:val="0030448B"/>
    <w:rsid w:val="00337C83"/>
    <w:rsid w:val="0035005D"/>
    <w:rsid w:val="003852B3"/>
    <w:rsid w:val="00394010"/>
    <w:rsid w:val="0039646E"/>
    <w:rsid w:val="003B0B4A"/>
    <w:rsid w:val="003D25CB"/>
    <w:rsid w:val="003D4A3C"/>
    <w:rsid w:val="00415DD2"/>
    <w:rsid w:val="004409C0"/>
    <w:rsid w:val="0045523E"/>
    <w:rsid w:val="00473277"/>
    <w:rsid w:val="00484317"/>
    <w:rsid w:val="00487BE5"/>
    <w:rsid w:val="004B74FA"/>
    <w:rsid w:val="004D2BB5"/>
    <w:rsid w:val="004E6C02"/>
    <w:rsid w:val="00536443"/>
    <w:rsid w:val="00556BE6"/>
    <w:rsid w:val="005864EE"/>
    <w:rsid w:val="00594557"/>
    <w:rsid w:val="0059547C"/>
    <w:rsid w:val="005970DE"/>
    <w:rsid w:val="005B04F5"/>
    <w:rsid w:val="005B44D2"/>
    <w:rsid w:val="00640555"/>
    <w:rsid w:val="00650FCA"/>
    <w:rsid w:val="00684998"/>
    <w:rsid w:val="0069153E"/>
    <w:rsid w:val="006A640E"/>
    <w:rsid w:val="006C19B9"/>
    <w:rsid w:val="006F162F"/>
    <w:rsid w:val="0071109F"/>
    <w:rsid w:val="00713ECC"/>
    <w:rsid w:val="00715531"/>
    <w:rsid w:val="00787708"/>
    <w:rsid w:val="00795005"/>
    <w:rsid w:val="007E1FF6"/>
    <w:rsid w:val="008117F5"/>
    <w:rsid w:val="00850772"/>
    <w:rsid w:val="0089629F"/>
    <w:rsid w:val="008E5A18"/>
    <w:rsid w:val="00911345"/>
    <w:rsid w:val="009325F0"/>
    <w:rsid w:val="009502CD"/>
    <w:rsid w:val="00993189"/>
    <w:rsid w:val="009B0764"/>
    <w:rsid w:val="009C2F68"/>
    <w:rsid w:val="00A26C62"/>
    <w:rsid w:val="00A3621B"/>
    <w:rsid w:val="00A51DF8"/>
    <w:rsid w:val="00A56ED2"/>
    <w:rsid w:val="00A5785F"/>
    <w:rsid w:val="00B04D5B"/>
    <w:rsid w:val="00B14A57"/>
    <w:rsid w:val="00B31D8C"/>
    <w:rsid w:val="00B827E4"/>
    <w:rsid w:val="00C113E9"/>
    <w:rsid w:val="00C141C0"/>
    <w:rsid w:val="00C167B9"/>
    <w:rsid w:val="00C438FB"/>
    <w:rsid w:val="00C4494C"/>
    <w:rsid w:val="00C45A16"/>
    <w:rsid w:val="00C7197B"/>
    <w:rsid w:val="00CA38D3"/>
    <w:rsid w:val="00CC179E"/>
    <w:rsid w:val="00CD2B3A"/>
    <w:rsid w:val="00CD4B7D"/>
    <w:rsid w:val="00CD70D9"/>
    <w:rsid w:val="00CF36D6"/>
    <w:rsid w:val="00D04B8E"/>
    <w:rsid w:val="00D1563D"/>
    <w:rsid w:val="00D17023"/>
    <w:rsid w:val="00D3701E"/>
    <w:rsid w:val="00D458EF"/>
    <w:rsid w:val="00DA0550"/>
    <w:rsid w:val="00DB42F2"/>
    <w:rsid w:val="00DC686F"/>
    <w:rsid w:val="00E202DB"/>
    <w:rsid w:val="00E24179"/>
    <w:rsid w:val="00E271BB"/>
    <w:rsid w:val="00E46C58"/>
    <w:rsid w:val="00E54747"/>
    <w:rsid w:val="00E827DF"/>
    <w:rsid w:val="00E91ACE"/>
    <w:rsid w:val="00E91D2A"/>
    <w:rsid w:val="00EA103A"/>
    <w:rsid w:val="00F02FC6"/>
    <w:rsid w:val="00F03BBD"/>
    <w:rsid w:val="00F2778C"/>
    <w:rsid w:val="00F53422"/>
    <w:rsid w:val="00F70829"/>
    <w:rsid w:val="00F81794"/>
    <w:rsid w:val="00F974C5"/>
    <w:rsid w:val="00F97AA4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F9E952"/>
  <w15:docId w15:val="{FC55BBC6-B685-46BA-99D3-9BE6132D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left="20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557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557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59455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51DF8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胡境芝</dc:creator>
  <cp:keywords/>
  <cp:lastModifiedBy>廖明慧</cp:lastModifiedBy>
  <cp:revision>3</cp:revision>
  <cp:lastPrinted>2025-06-12T02:57:00Z</cp:lastPrinted>
  <dcterms:created xsi:type="dcterms:W3CDTF">2025-06-23T08:44:00Z</dcterms:created>
  <dcterms:modified xsi:type="dcterms:W3CDTF">2025-06-23T08:44:00Z</dcterms:modified>
</cp:coreProperties>
</file>